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45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01"/>
        <w:gridCol w:w="1542"/>
        <w:gridCol w:w="3471"/>
        <w:gridCol w:w="3470"/>
        <w:gridCol w:w="4700"/>
      </w:tblGrid>
      <w:tr w:rsidR="005C62D5" w:rsidRPr="00E2079D" w14:paraId="65238ADA" w14:textId="77777777" w:rsidTr="00AA6806">
        <w:tc>
          <w:tcPr>
            <w:tcW w:w="2268" w:type="dxa"/>
            <w:gridSpan w:val="2"/>
            <w:shd w:val="clear" w:color="auto" w:fill="F2F2F2" w:themeFill="background1" w:themeFillShade="F2"/>
          </w:tcPr>
          <w:p w14:paraId="4FF8584E" w14:textId="5B81C943" w:rsidR="005C62D5" w:rsidRPr="00E2079D" w:rsidRDefault="00AA6806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183" w:type="dxa"/>
            <w:gridSpan w:val="4"/>
          </w:tcPr>
          <w:p w14:paraId="0560943D" w14:textId="0E5D5080" w:rsidR="005C62D5" w:rsidRPr="00A352C9" w:rsidRDefault="0062113D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Sağlık Kültür ve Spor Daire Başkanlığı</w:t>
            </w:r>
          </w:p>
        </w:tc>
      </w:tr>
      <w:tr w:rsidR="005C62D5" w:rsidRPr="00E2079D" w14:paraId="2A09705E" w14:textId="77777777" w:rsidTr="00AA6806">
        <w:tc>
          <w:tcPr>
            <w:tcW w:w="2268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183" w:type="dxa"/>
            <w:gridSpan w:val="4"/>
          </w:tcPr>
          <w:p w14:paraId="58B16F58" w14:textId="2602D170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AD7D57" w:rsidRPr="009B1199" w14:paraId="306CDF26" w14:textId="77777777" w:rsidTr="00AA6806">
        <w:trPr>
          <w:trHeight w:val="71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77EE33DC" w14:textId="77777777" w:rsidR="00AD7D57" w:rsidRPr="009B1199" w:rsidRDefault="00AD7D57" w:rsidP="0024539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3243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AD7D57" w:rsidRPr="00AA6806" w:rsidRDefault="00AD7D57" w:rsidP="0024539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AA6806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3471" w:type="dxa"/>
            <w:shd w:val="clear" w:color="auto" w:fill="DEEAF6" w:themeFill="accent1" w:themeFillTint="33"/>
            <w:vAlign w:val="center"/>
          </w:tcPr>
          <w:p w14:paraId="19095813" w14:textId="0678BEAE" w:rsidR="00AD7D57" w:rsidRPr="00AA6806" w:rsidRDefault="00AD7D57" w:rsidP="0024539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AA6806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Görevin Yürütüldüğü Birim</w:t>
            </w:r>
          </w:p>
        </w:tc>
        <w:tc>
          <w:tcPr>
            <w:tcW w:w="3470" w:type="dxa"/>
            <w:shd w:val="clear" w:color="auto" w:fill="DEEAF6" w:themeFill="accent1" w:themeFillTint="33"/>
            <w:vAlign w:val="center"/>
          </w:tcPr>
          <w:p w14:paraId="2FF48D51" w14:textId="728C7474" w:rsidR="00AD7D57" w:rsidRPr="00AA6806" w:rsidRDefault="00AD7D57" w:rsidP="0024539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AA6806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Sorumlu Birim Amiri</w:t>
            </w:r>
          </w:p>
        </w:tc>
        <w:tc>
          <w:tcPr>
            <w:tcW w:w="4700" w:type="dxa"/>
            <w:shd w:val="clear" w:color="auto" w:fill="DEEAF6" w:themeFill="accent1" w:themeFillTint="33"/>
            <w:vAlign w:val="center"/>
          </w:tcPr>
          <w:p w14:paraId="1E9FB713" w14:textId="77777777" w:rsidR="00AD7D57" w:rsidRPr="00AA6806" w:rsidRDefault="00AD7D57" w:rsidP="0024539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AA6806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49204885" w14:textId="703F1D1B" w:rsidR="00AD7D57" w:rsidRPr="00AA6806" w:rsidRDefault="00AD7D57" w:rsidP="0024539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 w:rsidRPr="00AA6806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</w:tr>
      <w:tr w:rsidR="004D348B" w:rsidRPr="009B1199" w14:paraId="74859EB8" w14:textId="77777777" w:rsidTr="00F229EF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5BB97385" w14:textId="77777777" w:rsidR="004D348B" w:rsidRPr="00272085" w:rsidRDefault="004D348B" w:rsidP="00F229EF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1</w:t>
            </w:r>
          </w:p>
        </w:tc>
        <w:tc>
          <w:tcPr>
            <w:tcW w:w="3243" w:type="dxa"/>
            <w:gridSpan w:val="2"/>
            <w:vAlign w:val="center"/>
          </w:tcPr>
          <w:p w14:paraId="7491906D" w14:textId="2201BE83" w:rsidR="004D348B" w:rsidRPr="00EA6A32" w:rsidRDefault="004C31C9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Görevden ayrılan, göreve başlayan, izinli veya raporlu personelin takibini yaparak hatalı ödeme yapılmasını önlemek</w:t>
            </w:r>
          </w:p>
        </w:tc>
        <w:tc>
          <w:tcPr>
            <w:tcW w:w="3471" w:type="dxa"/>
            <w:vAlign w:val="center"/>
          </w:tcPr>
          <w:p w14:paraId="73D1BAAD" w14:textId="251E4B73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13355AEE" w14:textId="77777777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0B67E7D3" w14:textId="00EE206D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0CF703A6" w14:textId="37F65DEA" w:rsidR="005766C2" w:rsidRPr="00530757" w:rsidRDefault="005766C2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İş gücü kaybı,</w:t>
            </w:r>
          </w:p>
          <w:p w14:paraId="7B539CB1" w14:textId="017DA7F0" w:rsidR="005766C2" w:rsidRPr="00530757" w:rsidRDefault="005766C2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Kamu zararı,</w:t>
            </w:r>
          </w:p>
          <w:p w14:paraId="51AF24A4" w14:textId="4CA05211" w:rsidR="005766C2" w:rsidRPr="00530757" w:rsidRDefault="005766C2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Hak kaybı,</w:t>
            </w:r>
          </w:p>
          <w:p w14:paraId="3C53837F" w14:textId="3D7932A4" w:rsidR="004D348B" w:rsidRPr="00EA6A32" w:rsidRDefault="005766C2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Görevde aksama.</w:t>
            </w:r>
          </w:p>
        </w:tc>
      </w:tr>
      <w:tr w:rsidR="004D348B" w:rsidRPr="009B1199" w14:paraId="4F636943" w14:textId="77777777" w:rsidTr="00F229EF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4526FD18" w14:textId="77777777" w:rsidR="004D348B" w:rsidRPr="00272085" w:rsidRDefault="004D348B" w:rsidP="00F229EF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3243" w:type="dxa"/>
            <w:gridSpan w:val="2"/>
            <w:vAlign w:val="center"/>
          </w:tcPr>
          <w:p w14:paraId="03C84C20" w14:textId="77777777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1D2943" w14:textId="6D98820F" w:rsidR="004D348B" w:rsidRPr="00EA6A32" w:rsidRDefault="005766C2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SGK Giriş-Çıkış işlemleri ve SGK’ye elektronik ortamda gönderilen keseneklerin doğru, eksiksiz ve zamanında gönderilmesi</w:t>
            </w:r>
          </w:p>
        </w:tc>
        <w:tc>
          <w:tcPr>
            <w:tcW w:w="3471" w:type="dxa"/>
            <w:vAlign w:val="center"/>
          </w:tcPr>
          <w:p w14:paraId="4A021731" w14:textId="5E86DA8D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728BBEE1" w14:textId="77777777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1009DD16" w14:textId="7626A7AF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7413339F" w14:textId="0EC27A67" w:rsidR="004D348B" w:rsidRPr="00EA6A32" w:rsidRDefault="005766C2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Zamanında SGK Giriş-Çıkışın olmaması kurumumuza ek giderin olmasına sebep olur Kamu zararına ve kişi zararına sebebiyet verme riski kişi başı bir asgari ücret cezası doğurur.</w:t>
            </w:r>
          </w:p>
        </w:tc>
      </w:tr>
      <w:tr w:rsidR="004D348B" w:rsidRPr="009B1199" w14:paraId="4F9145B4" w14:textId="77777777" w:rsidTr="00F229EF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33CA14DE" w14:textId="77777777" w:rsidR="004D348B" w:rsidRPr="00272085" w:rsidRDefault="004D348B" w:rsidP="00F229EF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3243" w:type="dxa"/>
            <w:gridSpan w:val="2"/>
            <w:vAlign w:val="center"/>
          </w:tcPr>
          <w:p w14:paraId="6A8F6735" w14:textId="55DE8C1F" w:rsidR="004D348B" w:rsidRPr="00EA6A32" w:rsidRDefault="005766C2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 işçilerin maaş puantajlarının takibi ve Tahakkuk birimine gönderimi</w:t>
            </w:r>
          </w:p>
        </w:tc>
        <w:tc>
          <w:tcPr>
            <w:tcW w:w="3471" w:type="dxa"/>
            <w:vAlign w:val="center"/>
          </w:tcPr>
          <w:p w14:paraId="4262CA1A" w14:textId="6EE6EBB2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309E8263" w14:textId="77777777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16506B7F" w14:textId="4BFCE0BD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6BB63921" w14:textId="55B25EC5" w:rsidR="004D348B" w:rsidRPr="00EA6A32" w:rsidRDefault="005766C2" w:rsidP="00F229EF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 w:rsidRPr="00530757">
              <w:rPr>
                <w:rStyle w:val="normaltextrun"/>
              </w:rPr>
              <w:t>Ödemelerin eksik veya zamanında yapılmaması,</w:t>
            </w:r>
            <w:r>
              <w:rPr>
                <w:rStyle w:val="normaltextrun"/>
              </w:rPr>
              <w:t xml:space="preserve"> hak </w:t>
            </w:r>
            <w:r w:rsidRPr="00530757">
              <w:rPr>
                <w:rStyle w:val="normaltextrun"/>
              </w:rPr>
              <w:t>kaybı.</w:t>
            </w:r>
          </w:p>
        </w:tc>
      </w:tr>
      <w:tr w:rsidR="004D348B" w:rsidRPr="009B1199" w14:paraId="4B85CE0E" w14:textId="77777777" w:rsidTr="00F229EF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132BEA14" w14:textId="77777777" w:rsidR="004D348B" w:rsidRPr="009B1199" w:rsidRDefault="004D348B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3243" w:type="dxa"/>
            <w:gridSpan w:val="2"/>
            <w:vAlign w:val="center"/>
          </w:tcPr>
          <w:p w14:paraId="16BFB305" w14:textId="36EA9FC8" w:rsidR="004D348B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Özlük İşleri</w:t>
            </w:r>
          </w:p>
        </w:tc>
        <w:tc>
          <w:tcPr>
            <w:tcW w:w="3471" w:type="dxa"/>
            <w:vAlign w:val="center"/>
          </w:tcPr>
          <w:p w14:paraId="2FD82F1A" w14:textId="4004145C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0F6F28D9" w14:textId="77777777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663C976F" w14:textId="367ED417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7C45547C" w14:textId="62008AEE" w:rsidR="00E74F57" w:rsidRPr="00530757" w:rsidRDefault="00E74F57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Görevlerin aksaması,</w:t>
            </w:r>
          </w:p>
          <w:p w14:paraId="0AC71369" w14:textId="49DEAD0B" w:rsidR="00E74F57" w:rsidRPr="00530757" w:rsidRDefault="00E74F57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Personelin mağduriyeti,</w:t>
            </w:r>
          </w:p>
          <w:p w14:paraId="12404816" w14:textId="7EA15E00" w:rsidR="00E74F57" w:rsidRPr="00530757" w:rsidRDefault="00E74F57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Eksik veya fazla ödeme,</w:t>
            </w:r>
          </w:p>
          <w:p w14:paraId="471A3C86" w14:textId="0FA0327E" w:rsidR="00E74F57" w:rsidRPr="00530757" w:rsidRDefault="00E74F57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Cezai İşlem,</w:t>
            </w:r>
          </w:p>
          <w:p w14:paraId="62383891" w14:textId="0FBDD56E" w:rsidR="004D348B" w:rsidRPr="00EA6A32" w:rsidRDefault="00E74F57" w:rsidP="00F22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 zararı.</w:t>
            </w:r>
          </w:p>
        </w:tc>
      </w:tr>
      <w:tr w:rsidR="004D348B" w:rsidRPr="009B1199" w14:paraId="40C808A9" w14:textId="77777777" w:rsidTr="00F229EF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673ECB3F" w14:textId="77777777" w:rsidR="004D348B" w:rsidRDefault="004D348B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3243" w:type="dxa"/>
            <w:gridSpan w:val="2"/>
            <w:vAlign w:val="center"/>
          </w:tcPr>
          <w:p w14:paraId="6F0830C3" w14:textId="00B1A5A5" w:rsidR="004D348B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Maaş İşlemleri ile ilgili bilgilerin Strateji Daire Başkanlığına iletilmesi</w:t>
            </w:r>
          </w:p>
        </w:tc>
        <w:tc>
          <w:tcPr>
            <w:tcW w:w="3471" w:type="dxa"/>
            <w:vAlign w:val="center"/>
          </w:tcPr>
          <w:p w14:paraId="245F6116" w14:textId="1BB6D274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71E21109" w14:textId="77777777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04E496E2" w14:textId="08B46AAD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0AFE9BED" w14:textId="3A2C65C3" w:rsidR="00E74F57" w:rsidRPr="00530757" w:rsidRDefault="00E74F57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İlgili İş ve işlemlerin zamanında yapılmaması</w:t>
            </w:r>
          </w:p>
          <w:p w14:paraId="64B07E7B" w14:textId="5448B3DF" w:rsidR="00E74F57" w:rsidRPr="00530757" w:rsidRDefault="00E74F57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Hak kaybı</w:t>
            </w:r>
          </w:p>
          <w:p w14:paraId="43660306" w14:textId="042942A3" w:rsidR="004D348B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itibarının zedelenmesine sebebiyet verir.</w:t>
            </w:r>
          </w:p>
        </w:tc>
      </w:tr>
      <w:tr w:rsidR="004D348B" w:rsidRPr="009B1199" w14:paraId="063AF155" w14:textId="77777777" w:rsidTr="00F229EF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3D574EFC" w14:textId="25B5CE8F" w:rsidR="004D348B" w:rsidRDefault="004D348B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3243" w:type="dxa"/>
            <w:gridSpan w:val="2"/>
            <w:vAlign w:val="center"/>
          </w:tcPr>
          <w:p w14:paraId="597DEDC4" w14:textId="3DEE2BC6" w:rsidR="004D348B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 İzin ve rapor işlemleri</w:t>
            </w:r>
          </w:p>
        </w:tc>
        <w:tc>
          <w:tcPr>
            <w:tcW w:w="3471" w:type="dxa"/>
            <w:vAlign w:val="center"/>
          </w:tcPr>
          <w:p w14:paraId="4F175856" w14:textId="5540C805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54150171" w14:textId="77777777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4DA4B6CE" w14:textId="75122C7C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5F662CB1" w14:textId="55417DEB" w:rsidR="00E74F57" w:rsidRPr="00530757" w:rsidRDefault="00E74F57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Hak kaybı,</w:t>
            </w:r>
          </w:p>
          <w:p w14:paraId="6DCD5AF0" w14:textId="4C88775D" w:rsidR="00E74F57" w:rsidRPr="00530757" w:rsidRDefault="00E74F57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Kurumsal itibar kaybı,</w:t>
            </w:r>
          </w:p>
          <w:p w14:paraId="100761AD" w14:textId="5F357D83" w:rsidR="004D348B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Cezai işlem</w:t>
            </w: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4D348B" w:rsidRPr="009B1199" w14:paraId="4EBA54CB" w14:textId="77777777" w:rsidTr="00F229EF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1E49084C" w14:textId="4AC218EB" w:rsidR="004D348B" w:rsidRDefault="004D348B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7</w:t>
            </w:r>
          </w:p>
        </w:tc>
        <w:tc>
          <w:tcPr>
            <w:tcW w:w="3243" w:type="dxa"/>
            <w:gridSpan w:val="2"/>
            <w:vAlign w:val="center"/>
          </w:tcPr>
          <w:p w14:paraId="5DFE7DE8" w14:textId="2A580034" w:rsidR="00E74F57" w:rsidRPr="00530757" w:rsidRDefault="00E74F57" w:rsidP="00F229EF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Taşınır Kayıt,</w:t>
            </w:r>
          </w:p>
          <w:p w14:paraId="72D00AD9" w14:textId="0D0CA76E" w:rsidR="004D348B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Devir ve Hurdaya Ayırma İşlemleri</w:t>
            </w:r>
          </w:p>
        </w:tc>
        <w:tc>
          <w:tcPr>
            <w:tcW w:w="3471" w:type="dxa"/>
            <w:vAlign w:val="center"/>
          </w:tcPr>
          <w:p w14:paraId="323D0C5C" w14:textId="6EEA205B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6D9188C3" w14:textId="77777777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6B10040E" w14:textId="03389DC0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3C85DAF1" w14:textId="397FE6F3" w:rsidR="00E74F57" w:rsidRPr="00530757" w:rsidRDefault="00E74F57" w:rsidP="00F229EF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Taşınırın takip edilmemesi ve zamanında işlemlerin yapılmaması aksaklıklara sebep olur</w:t>
            </w:r>
          </w:p>
          <w:p w14:paraId="483C5CA1" w14:textId="7ACBD6C2" w:rsidR="004D348B" w:rsidRPr="00E74F57" w:rsidRDefault="00E74F57" w:rsidP="00F2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Tüketilen malzemelerin analiz edilmemesi, dayanıklı taşınırların kimlere tahsis edildiğinin bilinmemesi, kaybolma, çalınma vb. olumsuzlukların ortaya çıkmasına sebep olur.</w:t>
            </w:r>
          </w:p>
        </w:tc>
      </w:tr>
      <w:tr w:rsidR="004D348B" w:rsidRPr="009B1199" w14:paraId="5ED0ADE0" w14:textId="77777777" w:rsidTr="00177AEA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5BAC4ABF" w14:textId="06AB414C" w:rsidR="004D348B" w:rsidRDefault="004D348B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3243" w:type="dxa"/>
            <w:gridSpan w:val="2"/>
            <w:vAlign w:val="center"/>
          </w:tcPr>
          <w:p w14:paraId="7BBC66C3" w14:textId="78FAD28D" w:rsidR="004D348B" w:rsidRPr="00EA6A32" w:rsidRDefault="00E74F57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 Mali Kontrol İşlemleri ve İç Kontrol İşlemleri</w:t>
            </w:r>
          </w:p>
        </w:tc>
        <w:tc>
          <w:tcPr>
            <w:tcW w:w="3471" w:type="dxa"/>
          </w:tcPr>
          <w:p w14:paraId="05BF3DD4" w14:textId="36947CA8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4D82E848" w14:textId="77777777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14B3B294" w14:textId="3215FDAE" w:rsidR="004D348B" w:rsidRPr="00EA6A32" w:rsidRDefault="004D348B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64E11335" w14:textId="77777777" w:rsidR="00E74987" w:rsidRDefault="00E74987" w:rsidP="00E74987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Birimleri</w:t>
            </w: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kalite süreçlerinde aksaklık meydana gelir.</w:t>
            </w:r>
          </w:p>
          <w:p w14:paraId="4CD692F5" w14:textId="29AAC5CD" w:rsidR="004D348B" w:rsidRPr="00EA6A32" w:rsidRDefault="00E74987" w:rsidP="00E74987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Kamu zararı oluşur.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E74F57" w:rsidRPr="009B1199" w14:paraId="5B7D98A0" w14:textId="77777777" w:rsidTr="00AA6806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46159244" w14:textId="15C1764C" w:rsidR="00E74F57" w:rsidRDefault="00E74F57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</w:t>
            </w:r>
          </w:p>
        </w:tc>
        <w:tc>
          <w:tcPr>
            <w:tcW w:w="3243" w:type="dxa"/>
            <w:gridSpan w:val="2"/>
            <w:vAlign w:val="center"/>
          </w:tcPr>
          <w:p w14:paraId="449926AD" w14:textId="5B8532D5" w:rsidR="00E74F57" w:rsidRPr="00EA6A32" w:rsidRDefault="00E74F57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Ödeme evraklarının arşivlenmesi</w:t>
            </w:r>
          </w:p>
        </w:tc>
        <w:tc>
          <w:tcPr>
            <w:tcW w:w="3471" w:type="dxa"/>
            <w:vAlign w:val="center"/>
          </w:tcPr>
          <w:p w14:paraId="426D8ADF" w14:textId="797F1770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4CD0A9EC" w14:textId="77777777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7F75668C" w14:textId="7C13AC9B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7B2FF756" w14:textId="1FFBF3F1" w:rsidR="00E74F57" w:rsidRPr="00530757" w:rsidRDefault="00E74F57" w:rsidP="00F2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30757">
              <w:rPr>
                <w:rStyle w:val="normaltextrun"/>
              </w:rPr>
              <w:t>Geçmişe dönük ödeme evrakların bulunamaması,</w:t>
            </w:r>
          </w:p>
          <w:p w14:paraId="55EC0B62" w14:textId="1FCA20DF" w:rsidR="00E74F57" w:rsidRPr="00EA6A32" w:rsidRDefault="00E74F57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Arşivlemede sıkıntılar.</w:t>
            </w:r>
          </w:p>
        </w:tc>
      </w:tr>
      <w:tr w:rsidR="00E74F57" w:rsidRPr="009B1199" w14:paraId="5EA74CD3" w14:textId="77777777" w:rsidTr="00AA6806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4517B36A" w14:textId="799A1A86" w:rsidR="00E74F57" w:rsidRDefault="00E74F57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</w:t>
            </w:r>
          </w:p>
        </w:tc>
        <w:tc>
          <w:tcPr>
            <w:tcW w:w="3243" w:type="dxa"/>
            <w:gridSpan w:val="2"/>
            <w:vAlign w:val="center"/>
          </w:tcPr>
          <w:p w14:paraId="439F94AF" w14:textId="367577D6" w:rsidR="00E74F57" w:rsidRPr="00EA6A32" w:rsidRDefault="00987BC1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  <w:r>
              <w:rPr>
                <w:rStyle w:val="normaltextrun"/>
                <w:sz w:val="24"/>
                <w:szCs w:val="24"/>
              </w:rPr>
              <w:t xml:space="preserve">ersonel </w:t>
            </w:r>
            <w:r w:rsidR="00E74F57"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Avans İşlemleri</w:t>
            </w:r>
          </w:p>
          <w:p w14:paraId="394AD03C" w14:textId="77777777" w:rsidR="00E74F57" w:rsidRPr="00EA6A32" w:rsidRDefault="00E74F57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14:paraId="062368C4" w14:textId="1BB31ECC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19D1A967" w14:textId="77777777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1776C7F3" w14:textId="1B5C87E5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42E17737" w14:textId="2E78D1A7" w:rsidR="00E74F57" w:rsidRPr="00EA6A32" w:rsidRDefault="00E74F57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Avansın kapatılmaması</w:t>
            </w:r>
            <w:r w:rsidR="001D7CDB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1D7CDB">
              <w:rPr>
                <w:rStyle w:val="normaltextrun"/>
                <w:sz w:val="24"/>
                <w:szCs w:val="24"/>
              </w:rPr>
              <w:t xml:space="preserve"> kamu zararı</w:t>
            </w:r>
          </w:p>
        </w:tc>
      </w:tr>
      <w:tr w:rsidR="00E74F57" w:rsidRPr="009B1199" w14:paraId="41260B7C" w14:textId="77777777" w:rsidTr="00AA6806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35463EA9" w14:textId="01C63B99" w:rsidR="00E74F57" w:rsidRDefault="00E74F57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</w:t>
            </w:r>
          </w:p>
        </w:tc>
        <w:tc>
          <w:tcPr>
            <w:tcW w:w="3243" w:type="dxa"/>
            <w:gridSpan w:val="2"/>
            <w:vAlign w:val="center"/>
          </w:tcPr>
          <w:p w14:paraId="62DEADE9" w14:textId="7ED723A9" w:rsidR="00E74F57" w:rsidRPr="00EA6A32" w:rsidRDefault="00E74F57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Kısmi zamanlı öğrenci çalıştırma</w:t>
            </w:r>
          </w:p>
        </w:tc>
        <w:tc>
          <w:tcPr>
            <w:tcW w:w="3471" w:type="dxa"/>
            <w:vAlign w:val="center"/>
          </w:tcPr>
          <w:p w14:paraId="13C2BFA7" w14:textId="41B13C5F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  <w:vAlign w:val="center"/>
          </w:tcPr>
          <w:p w14:paraId="77D40707" w14:textId="77777777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313F34BF" w14:textId="2DC19DEB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60D75D60" w14:textId="68F5B457" w:rsidR="00E74F57" w:rsidRPr="00EA6A32" w:rsidRDefault="00E74F57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Kamu zararına sebebiyet verebileceği gibi, ilgililer hakkında idari ve hukuki sorumluluklar doğurur. SGK giriş çıkışlarının zamanında yapılması.</w:t>
            </w:r>
          </w:p>
        </w:tc>
      </w:tr>
      <w:tr w:rsidR="00E74F57" w:rsidRPr="009B1199" w14:paraId="7973BE0A" w14:textId="77777777" w:rsidTr="00BB0599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296ECB1C" w14:textId="0364C946" w:rsidR="00E74F57" w:rsidRDefault="00E74F57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</w:t>
            </w:r>
          </w:p>
        </w:tc>
        <w:tc>
          <w:tcPr>
            <w:tcW w:w="3243" w:type="dxa"/>
            <w:gridSpan w:val="2"/>
            <w:vAlign w:val="center"/>
          </w:tcPr>
          <w:p w14:paraId="1A72B67C" w14:textId="1856775B" w:rsidR="00E74F57" w:rsidRPr="00EA6A32" w:rsidRDefault="00E74F57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Yolluklar</w:t>
            </w:r>
          </w:p>
        </w:tc>
        <w:tc>
          <w:tcPr>
            <w:tcW w:w="3471" w:type="dxa"/>
            <w:vAlign w:val="center"/>
          </w:tcPr>
          <w:p w14:paraId="3DCF6733" w14:textId="680427FF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</w:tcPr>
          <w:p w14:paraId="25185099" w14:textId="77777777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58B6D330" w14:textId="30D8B58E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78D0B319" w14:textId="5D215E92" w:rsidR="00E74F57" w:rsidRPr="00EA6A32" w:rsidRDefault="00E74F57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Kamu zararına sebebiyet verebileceği gibi, ilgililer hakkında idari ve hukuki sorumluluklar doğurur.</w:t>
            </w:r>
          </w:p>
        </w:tc>
      </w:tr>
      <w:tr w:rsidR="00E74F57" w:rsidRPr="009B1199" w14:paraId="1E90E605" w14:textId="77777777" w:rsidTr="00BB0599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7B0F6290" w14:textId="6F4DFF6A" w:rsidR="00E74F57" w:rsidRDefault="00E74F57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</w:t>
            </w:r>
          </w:p>
        </w:tc>
        <w:tc>
          <w:tcPr>
            <w:tcW w:w="3243" w:type="dxa"/>
            <w:gridSpan w:val="2"/>
            <w:vAlign w:val="center"/>
          </w:tcPr>
          <w:p w14:paraId="184539C2" w14:textId="7103ED1C" w:rsidR="00E74F57" w:rsidRPr="00B76FE8" w:rsidRDefault="00B76FE8" w:rsidP="00F229EF">
            <w:pPr>
              <w:spacing w:after="0" w:line="240" w:lineRule="auto"/>
              <w:rPr>
                <w:rStyle w:val="fontstyle01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İhale sözleşmelerinin uygulamasının takibi</w:t>
            </w:r>
          </w:p>
        </w:tc>
        <w:tc>
          <w:tcPr>
            <w:tcW w:w="3471" w:type="dxa"/>
            <w:vAlign w:val="center"/>
          </w:tcPr>
          <w:p w14:paraId="32C57C4D" w14:textId="56201782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</w:tcPr>
          <w:p w14:paraId="68617617" w14:textId="77777777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5D3E71FC" w14:textId="7DFC350E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3FA7AC7C" w14:textId="71B96927" w:rsidR="00E74F57" w:rsidRPr="00B76FE8" w:rsidRDefault="00B76FE8" w:rsidP="00F229EF">
            <w:pPr>
              <w:spacing w:after="0" w:line="240" w:lineRule="auto"/>
              <w:rPr>
                <w:rStyle w:val="fontstyle01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Kamu zararına sebebiyet verebileceği gibi, ilgililer hakkında idari ve hukuki sorumluluklar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br/>
              <w:t>doğurur.</w:t>
            </w:r>
          </w:p>
        </w:tc>
      </w:tr>
      <w:tr w:rsidR="00E74F57" w:rsidRPr="009B1199" w14:paraId="3F1419F5" w14:textId="77777777" w:rsidTr="00BB0599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5C5A7EBE" w14:textId="58C3040F" w:rsidR="00E74F57" w:rsidRDefault="00E74F57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14</w:t>
            </w:r>
          </w:p>
        </w:tc>
        <w:tc>
          <w:tcPr>
            <w:tcW w:w="3243" w:type="dxa"/>
            <w:gridSpan w:val="2"/>
            <w:vAlign w:val="center"/>
          </w:tcPr>
          <w:p w14:paraId="03601E1D" w14:textId="77777777" w:rsidR="00B76FE8" w:rsidRPr="00530757" w:rsidRDefault="00B76FE8" w:rsidP="00F229EF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Teminat iadeleri</w:t>
            </w:r>
          </w:p>
          <w:p w14:paraId="16BD2F32" w14:textId="6F3C9D01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14:paraId="72C8416A" w14:textId="3527159B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</w:tcPr>
          <w:p w14:paraId="254E80B6" w14:textId="77777777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07827ED1" w14:textId="4FAC99F6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3447BC6B" w14:textId="30863999" w:rsidR="00E74F57" w:rsidRPr="00B76FE8" w:rsidRDefault="00B76FE8" w:rsidP="00F2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Muhasebe kayıtlarında uyumsuzluğa yol açar, istekli ya da yükleniciler açısından kurum ve birim imajına zarar vermesine yol açabilir.</w:t>
            </w:r>
          </w:p>
        </w:tc>
      </w:tr>
      <w:tr w:rsidR="00E74F57" w:rsidRPr="009B1199" w14:paraId="0B38E90B" w14:textId="77777777" w:rsidTr="00BB0599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243BCC98" w14:textId="5450AD89" w:rsidR="00E74F57" w:rsidRDefault="00E74F57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3243" w:type="dxa"/>
            <w:gridSpan w:val="2"/>
            <w:vAlign w:val="center"/>
          </w:tcPr>
          <w:p w14:paraId="2524ADD9" w14:textId="01FA89FC" w:rsidR="00E74F57" w:rsidRPr="00EA6A32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Doğrudan Temin Yöntemi ile Satın Alma Süreçlerinin Mevzuata Uygun Yürütülmesi</w:t>
            </w:r>
          </w:p>
        </w:tc>
        <w:tc>
          <w:tcPr>
            <w:tcW w:w="3471" w:type="dxa"/>
            <w:vAlign w:val="center"/>
          </w:tcPr>
          <w:p w14:paraId="0B2E3461" w14:textId="3774B3BA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</w:tcPr>
          <w:p w14:paraId="2B9B5606" w14:textId="77777777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069C18DA" w14:textId="013FEDFD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2D720BBC" w14:textId="77B73ABD" w:rsidR="00E74F57" w:rsidRPr="00EA6A32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Kamu zararına sebebiyet verebileceği gibi, ilgililer hakkında idari ve hukuki sorumluluklar doğurur.</w:t>
            </w:r>
          </w:p>
        </w:tc>
      </w:tr>
      <w:tr w:rsidR="00E74F57" w:rsidRPr="009B1199" w14:paraId="61D550E8" w14:textId="77777777" w:rsidTr="00BB0599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0BE30132" w14:textId="43D94ED2" w:rsidR="00E74F57" w:rsidRDefault="00E74F57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3243" w:type="dxa"/>
            <w:gridSpan w:val="2"/>
            <w:vAlign w:val="center"/>
          </w:tcPr>
          <w:p w14:paraId="1EB18F51" w14:textId="5460B474" w:rsidR="00E74F57" w:rsidRPr="00EA6A32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Doğrudan Temin Yöntemi ile Satın Alma Süreçlerinin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Ekap’a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 İşlenmesi</w:t>
            </w:r>
          </w:p>
        </w:tc>
        <w:tc>
          <w:tcPr>
            <w:tcW w:w="3471" w:type="dxa"/>
            <w:vAlign w:val="center"/>
          </w:tcPr>
          <w:p w14:paraId="1CD3DA17" w14:textId="656F7DB3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Müdürlüğü</w:t>
            </w:r>
          </w:p>
        </w:tc>
        <w:tc>
          <w:tcPr>
            <w:tcW w:w="3470" w:type="dxa"/>
          </w:tcPr>
          <w:p w14:paraId="01363B7C" w14:textId="77777777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Mali Şube Müdürü</w:t>
            </w:r>
          </w:p>
          <w:p w14:paraId="066258A9" w14:textId="1894B667" w:rsidR="00E74F57" w:rsidRPr="00EA6A32" w:rsidRDefault="00E74F5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32">
              <w:rPr>
                <w:rFonts w:ascii="Times New Roman" w:hAnsi="Times New Roman" w:cs="Times New Roman"/>
                <w:bCs/>
                <w:sz w:val="24"/>
                <w:szCs w:val="24"/>
              </w:rPr>
              <w:t>Ramazan EROĞLU</w:t>
            </w:r>
          </w:p>
        </w:tc>
        <w:tc>
          <w:tcPr>
            <w:tcW w:w="4700" w:type="dxa"/>
            <w:vAlign w:val="center"/>
          </w:tcPr>
          <w:p w14:paraId="05EFF6A2" w14:textId="7DC79785" w:rsidR="00E74F57" w:rsidRPr="00EA6A32" w:rsidRDefault="00B76FE8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Hukuki ve idari sonuçlar, Mali Sonuçlar, Şeffaflık ve Hesap Verilebilirlik sorunları doğurur.</w:t>
            </w:r>
          </w:p>
        </w:tc>
      </w:tr>
      <w:tr w:rsidR="00F229EF" w:rsidRPr="009B1199" w14:paraId="2956EFB1" w14:textId="77777777" w:rsidTr="006445C2">
        <w:trPr>
          <w:trHeight w:val="737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4C0A9928" w14:textId="6C7C8301" w:rsidR="00F229EF" w:rsidRDefault="00F229EF" w:rsidP="00F229E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</w:t>
            </w:r>
          </w:p>
        </w:tc>
        <w:tc>
          <w:tcPr>
            <w:tcW w:w="3243" w:type="dxa"/>
            <w:gridSpan w:val="2"/>
            <w:vAlign w:val="center"/>
          </w:tcPr>
          <w:p w14:paraId="4DA2790F" w14:textId="496F2935" w:rsidR="00F229EF" w:rsidRPr="00EA6A32" w:rsidRDefault="00F229EF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Muhammen Bedel Tespit Komisyonu üyeliği</w:t>
            </w:r>
          </w:p>
        </w:tc>
        <w:tc>
          <w:tcPr>
            <w:tcW w:w="3471" w:type="dxa"/>
            <w:vAlign w:val="center"/>
          </w:tcPr>
          <w:p w14:paraId="6D0B1302" w14:textId="5AC32D54" w:rsidR="00F229EF" w:rsidRPr="00EA6A32" w:rsidRDefault="00F229EF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vAlign w:val="center"/>
          </w:tcPr>
          <w:p w14:paraId="5CE51668" w14:textId="2B7796D0" w:rsidR="00F229EF" w:rsidRPr="00EA6A32" w:rsidRDefault="00F229EF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vAlign w:val="center"/>
          </w:tcPr>
          <w:p w14:paraId="5B997629" w14:textId="6E40EB79" w:rsidR="00F229EF" w:rsidRPr="00EA6A32" w:rsidRDefault="00F229EF" w:rsidP="00F229EF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2886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SK’a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 aykırı hareket edilmesi kamu zararına sebebiyet verebilir. 2886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SK’nun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9 ve 86. Maddesine göre sorumluluğu vardır.</w:t>
            </w:r>
          </w:p>
        </w:tc>
      </w:tr>
    </w:tbl>
    <w:tbl>
      <w:tblPr>
        <w:tblW w:w="15451" w:type="dxa"/>
        <w:tblInd w:w="-572" w:type="dxa"/>
        <w:tblLook w:val="04A0" w:firstRow="1" w:lastRow="0" w:firstColumn="1" w:lastColumn="0" w:noHBand="0" w:noVBand="1"/>
      </w:tblPr>
      <w:tblGrid>
        <w:gridCol w:w="567"/>
        <w:gridCol w:w="3243"/>
        <w:gridCol w:w="3471"/>
        <w:gridCol w:w="3470"/>
        <w:gridCol w:w="4700"/>
      </w:tblGrid>
      <w:tr w:rsidR="00B76FE8" w:rsidRPr="008171D6" w14:paraId="449AD8BA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5BBB986B" w14:textId="37468725" w:rsidR="00B76FE8" w:rsidRPr="008171D6" w:rsidRDefault="00D80B24" w:rsidP="00F229EF">
            <w:pPr>
              <w:rPr>
                <w:bCs/>
              </w:rPr>
            </w:pPr>
            <w:r>
              <w:rPr>
                <w:bCs/>
              </w:rPr>
              <w:lastRenderedPageBreak/>
              <w:t>18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296FF3" w14:textId="77777777" w:rsidR="00B76FE8" w:rsidRPr="00530757" w:rsidRDefault="00B76FE8" w:rsidP="00F229EF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 Dokümanın Hazırlanması</w:t>
            </w:r>
          </w:p>
          <w:p w14:paraId="2E1BAE1D" w14:textId="4D0DFFCF" w:rsidR="00B76FE8" w:rsidRPr="00B76FE8" w:rsidRDefault="00B76FE8" w:rsidP="00F229EF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(Sözleşme ve Şartname taslağının hazırlanması) ve uygulanması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F3685F" w14:textId="77777777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2F7FC8B" w14:textId="12AB11CC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9F054A" w14:textId="5DBEF06A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Sözleşme taslağı hazırlanmadan ihale dokümanı oluşturulamayacağı için ihale yapılamaz ya da iptal edilir. Hazırlanan sözleşmeye uygun davranılmaması halinde kamu zararına sebebiyet verilebilir. 2886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SK’nun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86. Maddesine göre sorumluluğu vardır.</w:t>
            </w:r>
          </w:p>
        </w:tc>
      </w:tr>
      <w:tr w:rsidR="00B76FE8" w:rsidRPr="008171D6" w14:paraId="3DB687FA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0379202E" w14:textId="6A49E58B" w:rsidR="00B76FE8" w:rsidRPr="008171D6" w:rsidRDefault="00D80B24" w:rsidP="00F229EF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8ABA76" w14:textId="2C90D288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 süreci iş akışı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5202C04" w14:textId="77777777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45658C" w14:textId="075BA8A9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755B2BB" w14:textId="6011F24E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2886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SK’a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 aykırı hareket edilmesi kamu zararına sebebiyet verebilir. 2886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SK’nun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86. Maddesine göre sorumluluğu vardır.</w:t>
            </w:r>
          </w:p>
        </w:tc>
      </w:tr>
      <w:tr w:rsidR="00B76FE8" w:rsidRPr="008171D6" w14:paraId="548358E0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1E8B45B5" w14:textId="34123912" w:rsidR="00B76FE8" w:rsidRPr="008171D6" w:rsidRDefault="00D80B24" w:rsidP="00F229EF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FDF9F5" w14:textId="536241F4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 ihalesi üyeliği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6B179A" w14:textId="77777777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75427F" w14:textId="68E3DB88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84A38E" w14:textId="6A73F9C7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 tarih ve zamanında ihale yerinde hazır olunmaması durumunda ihale komisyonu</w:t>
            </w: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toplanamamış olacağı için ihale iptal edilir.4734 SK </w:t>
            </w:r>
            <w:proofErr w:type="spellStart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</w:t>
            </w:r>
            <w:proofErr w:type="spellEnd"/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 sorumluluğu vardır.</w:t>
            </w:r>
          </w:p>
        </w:tc>
      </w:tr>
      <w:tr w:rsidR="00B76FE8" w:rsidRPr="008171D6" w14:paraId="399D6E46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4DF569FF" w14:textId="70DC6444" w:rsidR="00B76FE8" w:rsidRPr="008171D6" w:rsidRDefault="00D80B24" w:rsidP="00F229EF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2F69AD" w14:textId="77777777" w:rsidR="00B76FE8" w:rsidRPr="00530757" w:rsidRDefault="00B76FE8" w:rsidP="00F229EF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Gıda güvenliği kontrolü</w:t>
            </w:r>
          </w:p>
          <w:p w14:paraId="5AF02AE9" w14:textId="7AA42BC0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AB0D3A" w14:textId="77777777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F274915" w14:textId="61DED240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6D93F9A" w14:textId="1E8002F5" w:rsidR="00B76FE8" w:rsidRDefault="00B76FE8" w:rsidP="00F229EF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*Sağlık problemleri</w:t>
            </w:r>
          </w:p>
          <w:p w14:paraId="401FB057" w14:textId="2FFE2E85" w:rsidR="00B76FE8" w:rsidRDefault="00B76FE8" w:rsidP="00F229EF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*Gıda zehirlenmeleri</w:t>
            </w:r>
          </w:p>
          <w:p w14:paraId="58F46EFD" w14:textId="77777777" w:rsidR="00B76FE8" w:rsidRDefault="00B76FE8" w:rsidP="00F229EF">
            <w:pPr>
              <w:pStyle w:val="AralkYok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*Enfeksiyon yayılımı</w:t>
            </w:r>
          </w:p>
          <w:p w14:paraId="412B6A65" w14:textId="1ABCD2EC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*Hukuki yaptırımlar</w:t>
            </w:r>
          </w:p>
        </w:tc>
      </w:tr>
      <w:tr w:rsidR="00B76FE8" w:rsidRPr="008171D6" w14:paraId="795A6BE6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679C3524" w14:textId="5141998C" w:rsidR="00B76FE8" w:rsidRPr="008171D6" w:rsidRDefault="00B76FE8" w:rsidP="00F229EF">
            <w:pPr>
              <w:rPr>
                <w:bCs/>
              </w:rPr>
            </w:pPr>
            <w:r>
              <w:rPr>
                <w:bCs/>
              </w:rPr>
              <w:t>2</w:t>
            </w:r>
            <w:r w:rsidR="00D80B24">
              <w:rPr>
                <w:bCs/>
              </w:rPr>
              <w:t>2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AF8B61" w14:textId="4408EE2A" w:rsidR="00B76FE8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şartname hazırlanması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82F841" w14:textId="77777777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7AC4BB" w14:textId="4F2245B5" w:rsidR="00B76FE8" w:rsidRPr="00604F61" w:rsidRDefault="00B76FE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DA2216" w14:textId="28DEE190" w:rsidR="00B76FE8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*Kamu zararı oluşabilir.</w:t>
            </w:r>
          </w:p>
        </w:tc>
      </w:tr>
      <w:tr w:rsidR="00D40FA7" w:rsidRPr="008171D6" w14:paraId="4F9FEAF6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1CEA4274" w14:textId="5DB8E5B0" w:rsidR="00D40FA7" w:rsidRPr="008171D6" w:rsidRDefault="00D40FA7" w:rsidP="00F229EF">
            <w:pPr>
              <w:rPr>
                <w:bCs/>
              </w:rPr>
            </w:pPr>
            <w:r>
              <w:rPr>
                <w:bCs/>
              </w:rPr>
              <w:t>2</w:t>
            </w:r>
            <w:r w:rsidR="00D80B24">
              <w:rPr>
                <w:bCs/>
              </w:rPr>
              <w:t>3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2042532" w14:textId="340A745D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 numune alınması (şahit numune)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13CCD3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6A59671" w14:textId="51081FEF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088B99" w14:textId="77777777" w:rsidR="00D40FA7" w:rsidRPr="00530757" w:rsidRDefault="00D40FA7" w:rsidP="00F229EF">
            <w:pPr>
              <w:pStyle w:val="NormalWeb"/>
              <w:shd w:val="clear" w:color="auto" w:fill="FFFFFF"/>
              <w:spacing w:before="0" w:after="0"/>
              <w:rPr>
                <w:rStyle w:val="normaltextrun"/>
              </w:rPr>
            </w:pPr>
            <w:r w:rsidRPr="00530757">
              <w:rPr>
                <w:rStyle w:val="normaltextrun"/>
                <w:b/>
                <w:bCs/>
              </w:rPr>
              <w:t>*Gıda Zehirlenmesi Vakalarında Yasal Güvencesizlik:</w:t>
            </w:r>
            <w:r w:rsidRPr="00530757">
              <w:rPr>
                <w:rStyle w:val="normaltextrun"/>
              </w:rPr>
              <w:t> Müşterilerden gelebilecek gıda zehirlenmesi iddialarında işletme, ürünlerinin güvenli olduğunu ispat edemez.</w:t>
            </w:r>
          </w:p>
          <w:p w14:paraId="51E04658" w14:textId="77777777" w:rsidR="00D40FA7" w:rsidRPr="00530757" w:rsidRDefault="00D40FA7" w:rsidP="00F229EF">
            <w:pPr>
              <w:pStyle w:val="NormalWeb"/>
              <w:shd w:val="clear" w:color="auto" w:fill="FFFFFF"/>
              <w:spacing w:before="0" w:after="0"/>
              <w:rPr>
                <w:rStyle w:val="normaltextrun"/>
              </w:rPr>
            </w:pPr>
            <w:r w:rsidRPr="00530757">
              <w:rPr>
                <w:rStyle w:val="normaltextrun"/>
                <w:b/>
                <w:bCs/>
              </w:rPr>
              <w:t>*İtibar Kaybı ve Yasal Soruşturmalar:</w:t>
            </w:r>
            <w:r w:rsidRPr="00530757">
              <w:rPr>
                <w:rStyle w:val="normaltextrun"/>
              </w:rPr>
              <w:t> Numune kaydı olmayan işletmeler, Tarım ve Orman Bakanlığı denetimlerinde cezai yaptırımlarla karşılaşabilir.</w:t>
            </w:r>
          </w:p>
          <w:p w14:paraId="69893415" w14:textId="23F78F0A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*Faaliyet Durdurma ve Cezai İşlemler: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Şahit numune kayıtlarının eksik olması, işletmenin kapatılmasına veya yüksek </w:t>
            </w:r>
            <w:r w:rsidRPr="0053075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cezalarla karşı karşıya kalmasına neden olabilir.</w:t>
            </w:r>
          </w:p>
        </w:tc>
      </w:tr>
      <w:tr w:rsidR="00D40FA7" w:rsidRPr="008171D6" w14:paraId="6E536FEE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1EDC264B" w14:textId="40E5DA62" w:rsidR="00D40FA7" w:rsidRPr="008171D6" w:rsidRDefault="00D40FA7" w:rsidP="00F229EF">
            <w:pPr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D80B24">
              <w:rPr>
                <w:bCs/>
              </w:rPr>
              <w:t>4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B5D246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Yemek hakkedişi yapılması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50CF21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26D6AA" w14:textId="011A82A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062203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Muayene ve kabul işlemlerinin zamanında yapılamaması nedeniyle ödemelerin gecikmesi</w:t>
            </w:r>
          </w:p>
        </w:tc>
      </w:tr>
      <w:tr w:rsidR="00D40FA7" w:rsidRPr="008171D6" w14:paraId="65C6C41D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11F9E910" w14:textId="55A55DD1" w:rsidR="00D40FA7" w:rsidRPr="008171D6" w:rsidRDefault="00D40FA7" w:rsidP="00F229EF">
            <w:pPr>
              <w:rPr>
                <w:bCs/>
              </w:rPr>
            </w:pPr>
            <w:r>
              <w:rPr>
                <w:bCs/>
              </w:rPr>
              <w:t>2</w:t>
            </w:r>
            <w:r w:rsidR="00D80B24">
              <w:rPr>
                <w:bCs/>
              </w:rPr>
              <w:t>5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6EB7FF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Mutfak içi ve dışı denetimler (Yemek servis, gramaj porsiyon kontrolü)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95796C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5FD828" w14:textId="014C48AD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F47203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*Kamu zararı oluşabilir *Gıda zehirlenmesi riski oluşabilir. *Öğrenci ve personel mağduriyet yaşayabilir. *Birim dışarıdan olumsuz tepki alabilir *İş kazaları sebebiyle personel zarar görebilir</w:t>
            </w:r>
          </w:p>
        </w:tc>
      </w:tr>
      <w:tr w:rsidR="00D40FA7" w:rsidRPr="008171D6" w14:paraId="35778365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155E8360" w14:textId="441906B5" w:rsidR="00D40FA7" w:rsidRPr="008171D6" w:rsidRDefault="00D40FA7" w:rsidP="00F229EF">
            <w:pPr>
              <w:rPr>
                <w:bCs/>
              </w:rPr>
            </w:pPr>
            <w:r>
              <w:rPr>
                <w:bCs/>
              </w:rPr>
              <w:t>2</w:t>
            </w:r>
            <w:r w:rsidR="00D80B24">
              <w:rPr>
                <w:bCs/>
              </w:rPr>
              <w:t>6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E2B07F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Muayene ve kabul(hammadde)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499E1EF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7D79F2" w14:textId="41DCAA9A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BC16E1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Kamu zararı oluşabilir. *Gıda zehirlenmesi riski oluşabilir</w:t>
            </w:r>
          </w:p>
          <w:p w14:paraId="60C660AC" w14:textId="4A55DB6B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*Öğrenci ve personel mağduriyet yaşayabilir. *İtibar kaybına neden olabilir.</w:t>
            </w:r>
          </w:p>
        </w:tc>
      </w:tr>
      <w:tr w:rsidR="00D40FA7" w:rsidRPr="008171D6" w14:paraId="0233C6B0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44F89C86" w14:textId="509EFBD1" w:rsidR="00D40FA7" w:rsidRPr="008171D6" w:rsidRDefault="00D40FA7" w:rsidP="00F229EF">
            <w:pPr>
              <w:rPr>
                <w:bCs/>
              </w:rPr>
            </w:pPr>
            <w:r>
              <w:rPr>
                <w:bCs/>
              </w:rPr>
              <w:t>2</w:t>
            </w:r>
            <w:r w:rsidR="00D80B24">
              <w:rPr>
                <w:bCs/>
              </w:rPr>
              <w:t>7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0998A90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Stok Yönetimi ve Depolama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656D88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27F596" w14:textId="41C4E838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056D03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*Kamu zararı oluşabilir. *Gıda zehirlenmesi riski oluşabilir.</w:t>
            </w:r>
          </w:p>
        </w:tc>
      </w:tr>
      <w:tr w:rsidR="00D40FA7" w:rsidRPr="008171D6" w14:paraId="2AF0A955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175A0311" w14:textId="78EDCC0E" w:rsidR="00D40FA7" w:rsidRPr="008171D6" w:rsidRDefault="00C26A58" w:rsidP="00F229EF">
            <w:pPr>
              <w:rPr>
                <w:bCs/>
              </w:rPr>
            </w:pPr>
            <w:r>
              <w:rPr>
                <w:bCs/>
              </w:rPr>
              <w:t>2</w:t>
            </w:r>
            <w:r w:rsidR="00D80B24">
              <w:rPr>
                <w:bCs/>
              </w:rPr>
              <w:t>8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346554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Aylık Menü Hazırlanması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204F01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83BAFF" w14:textId="326EBB6E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Tesisler Şube Müdürü Muhammet ÖKSÜZOĞLU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A9961C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Öğrenci ve personel mağduriyet yaşayabilir. *Kamu zararı oluşabilir.</w:t>
            </w:r>
          </w:p>
        </w:tc>
      </w:tr>
      <w:tr w:rsidR="00D40FA7" w:rsidRPr="008171D6" w14:paraId="5049E6C8" w14:textId="77777777">
        <w:trPr>
          <w:trHeight w:val="73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79930E87" w14:textId="48491832" w:rsidR="00D40FA7" w:rsidRDefault="00D80B24" w:rsidP="00F229EF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A13C0B" w14:textId="5EEAD8B9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Öğrenci Kulüpleri İş ve İşlemleri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893428" w14:textId="485FB860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Kültür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A2CB47" w14:textId="5B80C970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Kültür Şube Müdürü Feyzullah KABARAN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14A90C" w14:textId="454B830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İzinsiz etkinlik yapılması</w:t>
            </w:r>
          </w:p>
          <w:p w14:paraId="05A63D2E" w14:textId="7CEE6DCB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Öğrencilerin mağdur olması Topluluk kapatılması</w:t>
            </w:r>
          </w:p>
          <w:p w14:paraId="5585BF16" w14:textId="61F7052C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Topluluk kuruluşunun zamanında gerçekleşmemesi</w:t>
            </w:r>
          </w:p>
          <w:p w14:paraId="0700A3BC" w14:textId="5C8E4FB6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Onaylanmayan faaliyetlerin yapılması</w:t>
            </w:r>
          </w:p>
          <w:p w14:paraId="235D6073" w14:textId="3E9616A0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Suç teşkil edecek etkinliklerin ortaya çıkması</w:t>
            </w:r>
          </w:p>
        </w:tc>
      </w:tr>
      <w:tr w:rsidR="00D40FA7" w:rsidRPr="008171D6" w14:paraId="2D1E946E" w14:textId="77777777" w:rsidTr="00C26A58">
        <w:trPr>
          <w:trHeight w:val="1192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454A8DC1" w14:textId="5ABCBDB3" w:rsidR="00D40FA7" w:rsidRDefault="00D40FA7" w:rsidP="00F229EF">
            <w:pPr>
              <w:rPr>
                <w:bCs/>
              </w:rPr>
            </w:pPr>
            <w:r>
              <w:rPr>
                <w:bCs/>
              </w:rPr>
              <w:t>3</w:t>
            </w:r>
            <w:r w:rsidR="00D80B24">
              <w:rPr>
                <w:bCs/>
              </w:rPr>
              <w:t>0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12DCD2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Konferans salonu, amfi açık ve kapalı alanlarda yapılan tüm etkinliklerde gerekli düzenin program öncesinde/sonrasında alınması, ses sistemi, teknik malzemenin kontrol edilmesi, </w:t>
            </w: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kullanılabilirliğinin denetlenmesi.</w:t>
            </w:r>
          </w:p>
          <w:p w14:paraId="582D0CAA" w14:textId="77777777" w:rsidR="00D40FA7" w:rsidRPr="00604F61" w:rsidRDefault="00D40FA7" w:rsidP="00F22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BB0A5" w14:textId="3D6A5984" w:rsidR="00D40FA7" w:rsidRPr="00604F61" w:rsidRDefault="00D40FA7" w:rsidP="00F22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Kültür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C49072" w14:textId="2D888346" w:rsidR="00D40FA7" w:rsidRPr="00604F61" w:rsidRDefault="00D40FA7" w:rsidP="00F22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Kültür Şube Müdürü Feyzullah KABARAN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24D90D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İtibar kaybı</w:t>
            </w:r>
          </w:p>
          <w:p w14:paraId="6FA791AD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Mağduriyete yol açma</w:t>
            </w:r>
          </w:p>
          <w:p w14:paraId="0A8C7E68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Görevin aksaması</w:t>
            </w:r>
          </w:p>
          <w:p w14:paraId="4ADA0644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>İdare ve personele olan güvenin kaybolması</w:t>
            </w:r>
          </w:p>
          <w:p w14:paraId="24E62B79" w14:textId="77777777" w:rsidR="00D40FA7" w:rsidRPr="00604F61" w:rsidRDefault="00D40FA7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6A58" w:rsidRPr="008171D6" w14:paraId="264271BA" w14:textId="77777777" w:rsidTr="00C26A58">
        <w:trPr>
          <w:trHeight w:val="1192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18699C78" w14:textId="7970A26C" w:rsidR="00C26A58" w:rsidRDefault="00C26A58" w:rsidP="00F229EF">
            <w:pPr>
              <w:rPr>
                <w:bCs/>
              </w:rPr>
            </w:pPr>
            <w:r>
              <w:rPr>
                <w:bCs/>
              </w:rPr>
              <w:t>3</w:t>
            </w:r>
            <w:r w:rsidR="00D80B24">
              <w:rPr>
                <w:bCs/>
              </w:rPr>
              <w:t>1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A4717A" w14:textId="77720E1C" w:rsidR="00C26A58" w:rsidRPr="00604F61" w:rsidRDefault="00C26A5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Spor Faaliyetleri için yapılacak kurum dışı ve içi yazışmalar, olur alınması, yazışmaların takip edilmesi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A20C8C" w14:textId="6D9440A7" w:rsidR="00C26A58" w:rsidRPr="00604F61" w:rsidRDefault="00C26A58" w:rsidP="00F22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</w:t>
            </w: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80551" w14:textId="6B8149DD" w:rsidR="00C26A58" w:rsidRPr="00604F61" w:rsidRDefault="00C26A58" w:rsidP="00F22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</w:t>
            </w: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Şube Müdürü Feyzullah KABARAN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80BF94" w14:textId="59FBA596" w:rsidR="00C26A58" w:rsidRPr="00604F61" w:rsidRDefault="00C26A5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Yazışmaların aksaması, evrak kaybı, sürecin kontrolden çıkması</w:t>
            </w:r>
          </w:p>
        </w:tc>
      </w:tr>
      <w:tr w:rsidR="00C26A58" w:rsidRPr="008171D6" w14:paraId="17E5B3FD" w14:textId="77777777" w:rsidTr="00C26A58">
        <w:trPr>
          <w:trHeight w:val="1192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7227B00E" w14:textId="29087C05" w:rsidR="00C26A58" w:rsidRDefault="00C26A58" w:rsidP="00F229EF">
            <w:pPr>
              <w:rPr>
                <w:bCs/>
              </w:rPr>
            </w:pPr>
            <w:r>
              <w:rPr>
                <w:bCs/>
              </w:rPr>
              <w:t>3</w:t>
            </w:r>
            <w:r w:rsidR="00D80B24">
              <w:rPr>
                <w:bCs/>
              </w:rPr>
              <w:t>2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99ECD0" w14:textId="260C408A" w:rsidR="00C26A58" w:rsidRPr="00604F61" w:rsidRDefault="00C26A5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Üniversite İçi-dışı sportif yarışmalara katılacak takımların hazırlığı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1EDEC5" w14:textId="3F14A7D4" w:rsidR="00C26A58" w:rsidRPr="00604F61" w:rsidRDefault="00C26A58" w:rsidP="00F22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</w:t>
            </w: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552B79" w14:textId="1677449D" w:rsidR="00C26A58" w:rsidRPr="00604F61" w:rsidRDefault="00C26A58" w:rsidP="00F22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</w:t>
            </w: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Şube Müdürü Feyzullah KABARAN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7176C2" w14:textId="788FF148" w:rsidR="00C26A58" w:rsidRPr="00604F61" w:rsidRDefault="00C26A5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Spor takımlarının müsabakalara katılamaması, sürecin devamlılığının sağlanamaması.</w:t>
            </w:r>
          </w:p>
        </w:tc>
      </w:tr>
      <w:tr w:rsidR="00C26A58" w:rsidRPr="008171D6" w14:paraId="6BBD4567" w14:textId="77777777" w:rsidTr="00C26A58">
        <w:trPr>
          <w:trHeight w:val="1192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1792EC21" w14:textId="6FDD13E9" w:rsidR="00C26A58" w:rsidRDefault="00C26A58" w:rsidP="00F229EF">
            <w:pPr>
              <w:rPr>
                <w:bCs/>
              </w:rPr>
            </w:pPr>
            <w:r>
              <w:rPr>
                <w:bCs/>
              </w:rPr>
              <w:t>3</w:t>
            </w:r>
            <w:r w:rsidR="00D80B24">
              <w:rPr>
                <w:bCs/>
              </w:rPr>
              <w:t>3</w:t>
            </w:r>
          </w:p>
        </w:tc>
        <w:tc>
          <w:tcPr>
            <w:tcW w:w="32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979F6" w14:textId="4528447A" w:rsidR="00C26A58" w:rsidRPr="00604F61" w:rsidRDefault="00C26A5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Üniversite İçi-dışı sportif yarışmalara katılacak takımların hazırlığı, Ödeneklerin Hazırlıkları</w:t>
            </w:r>
          </w:p>
        </w:tc>
        <w:tc>
          <w:tcPr>
            <w:tcW w:w="3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48D99D" w14:textId="34D7D6C3" w:rsidR="00C26A58" w:rsidRPr="00604F61" w:rsidRDefault="00C26A58" w:rsidP="00F22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</w:t>
            </w: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Şube Müdürlüğü</w:t>
            </w:r>
          </w:p>
        </w:tc>
        <w:tc>
          <w:tcPr>
            <w:tcW w:w="3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D130A2" w14:textId="5756B388" w:rsidR="00C26A58" w:rsidRPr="00604F61" w:rsidRDefault="00C26A58" w:rsidP="00F22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</w:t>
            </w:r>
            <w:r w:rsidRPr="00604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Şube Müdürü Feyzullah KABARAN</w:t>
            </w:r>
          </w:p>
        </w:tc>
        <w:tc>
          <w:tcPr>
            <w:tcW w:w="4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436D1A" w14:textId="34324731" w:rsidR="00C26A58" w:rsidRPr="00604F61" w:rsidRDefault="00C26A58" w:rsidP="00F229E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Ödenek üstü harcamaya sebep </w:t>
            </w:r>
            <w:proofErr w:type="gramStart"/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>olunması -</w:t>
            </w:r>
            <w:proofErr w:type="gramEnd"/>
            <w:r w:rsidRPr="00530757">
              <w:rPr>
                <w:rStyle w:val="normaltextrun"/>
                <w:rFonts w:ascii="Times New Roman" w:eastAsia="Times New Roman" w:hAnsi="Times New Roman" w:cs="Times New Roman"/>
                <w:lang w:eastAsia="tr-TR"/>
              </w:rPr>
              <w:t xml:space="preserve"> Kamu zararı oluşması</w:t>
            </w:r>
          </w:p>
        </w:tc>
      </w:tr>
    </w:tbl>
    <w:p w14:paraId="6D9CF0B3" w14:textId="77777777" w:rsidR="008171D6" w:rsidRPr="008171D6" w:rsidRDefault="008171D6" w:rsidP="008171D6"/>
    <w:p w14:paraId="3B1948DD" w14:textId="77777777" w:rsidR="0024539A" w:rsidRDefault="0024539A"/>
    <w:tbl>
      <w:tblPr>
        <w:tblStyle w:val="TabloKlavuzuAk1"/>
        <w:tblW w:w="15451" w:type="dxa"/>
        <w:tblInd w:w="-572" w:type="dxa"/>
        <w:tblLook w:val="04A0" w:firstRow="1" w:lastRow="0" w:firstColumn="1" w:lastColumn="0" w:noHBand="0" w:noVBand="1"/>
      </w:tblPr>
      <w:tblGrid>
        <w:gridCol w:w="7230"/>
        <w:gridCol w:w="8221"/>
      </w:tblGrid>
      <w:tr w:rsidR="0024539A" w:rsidRPr="009B1199" w14:paraId="5FBB9A3F" w14:textId="77777777" w:rsidTr="00AA6806">
        <w:trPr>
          <w:trHeight w:val="1304"/>
        </w:trPr>
        <w:tc>
          <w:tcPr>
            <w:tcW w:w="7230" w:type="dxa"/>
          </w:tcPr>
          <w:p w14:paraId="578ACCB3" w14:textId="4FAEE8D3" w:rsidR="0024539A" w:rsidRPr="00AA6806" w:rsidRDefault="00AA6806" w:rsidP="0024539A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A6806">
              <w:rPr>
                <w:rFonts w:ascii="Cambria" w:hAnsi="Cambria"/>
                <w:bCs/>
              </w:rPr>
              <w:t>Hazırlayan</w:t>
            </w:r>
          </w:p>
          <w:p w14:paraId="52808152" w14:textId="61D52758" w:rsidR="0024539A" w:rsidRPr="009B1199" w:rsidRDefault="00AD7D57" w:rsidP="0024539A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A6806">
              <w:rPr>
                <w:rFonts w:ascii="Cambria" w:hAnsi="Cambria"/>
                <w:bCs/>
              </w:rPr>
              <w:t>Birim Sorumlusu</w:t>
            </w:r>
          </w:p>
        </w:tc>
        <w:tc>
          <w:tcPr>
            <w:tcW w:w="8221" w:type="dxa"/>
          </w:tcPr>
          <w:p w14:paraId="6F369A73" w14:textId="50FDA75D" w:rsidR="0024539A" w:rsidRDefault="00AA6806" w:rsidP="00AA6806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1CD02E35" w14:textId="30ACA5D6" w:rsidR="0024539A" w:rsidRDefault="0024539A" w:rsidP="00AA6806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</w:t>
            </w:r>
            <w:r w:rsidR="00AD7D57">
              <w:rPr>
                <w:rFonts w:ascii="Cambria" w:hAnsi="Cambria"/>
                <w:bCs/>
              </w:rPr>
              <w:t>Harcama Yetkilisi/</w:t>
            </w:r>
            <w:r>
              <w:rPr>
                <w:rFonts w:ascii="Cambria" w:hAnsi="Cambria"/>
                <w:bCs/>
              </w:rPr>
              <w:t xml:space="preserve"> Birim Amiri)</w:t>
            </w:r>
          </w:p>
          <w:p w14:paraId="2425F884" w14:textId="2A9347CF" w:rsidR="0024539A" w:rsidRPr="009B1199" w:rsidRDefault="0024539A" w:rsidP="0024539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                                                                                               </w:t>
            </w:r>
          </w:p>
        </w:tc>
      </w:tr>
    </w:tbl>
    <w:p w14:paraId="7CA09666" w14:textId="77777777" w:rsidR="00A9293B" w:rsidRDefault="00A9293B" w:rsidP="00A728DF">
      <w:pPr>
        <w:tabs>
          <w:tab w:val="left" w:pos="10320"/>
        </w:tabs>
        <w:spacing w:after="0" w:line="240" w:lineRule="auto"/>
        <w:rPr>
          <w:rFonts w:ascii="Cambria" w:hAnsi="Cambria"/>
        </w:rPr>
      </w:pPr>
    </w:p>
    <w:p w14:paraId="55010340" w14:textId="32F6A96C" w:rsidR="005B0C52" w:rsidRPr="00116355" w:rsidRDefault="00F478AB" w:rsidP="00A728DF">
      <w:pPr>
        <w:tabs>
          <w:tab w:val="left" w:pos="10320"/>
        </w:tabs>
        <w:spacing w:after="0" w:line="240" w:lineRule="auto"/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AA6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426" w:left="1134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2A60" w14:textId="77777777" w:rsidR="00CA657E" w:rsidRDefault="00CA657E" w:rsidP="00534F7F">
      <w:pPr>
        <w:spacing w:after="0" w:line="240" w:lineRule="auto"/>
      </w:pPr>
      <w:r>
        <w:separator/>
      </w:r>
    </w:p>
  </w:endnote>
  <w:endnote w:type="continuationSeparator" w:id="0">
    <w:p w14:paraId="24BC0458" w14:textId="77777777" w:rsidR="00CA657E" w:rsidRDefault="00CA657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4C1F" w14:textId="77777777" w:rsidR="00FF4D20" w:rsidRDefault="00FF4D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948B" w14:textId="77777777" w:rsidR="00FF4D20" w:rsidRDefault="00FF4D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774F" w14:textId="77777777" w:rsidR="00AA6806" w:rsidRPr="00AD7D57" w:rsidRDefault="00AA6806" w:rsidP="00AA6806">
    <w:pPr>
      <w:tabs>
        <w:tab w:val="left" w:pos="10320"/>
      </w:tabs>
      <w:spacing w:after="0" w:line="240" w:lineRule="auto"/>
      <w:rPr>
        <w:rFonts w:ascii="Cambria" w:hAnsi="Cambria"/>
        <w:sz w:val="20"/>
        <w:szCs w:val="20"/>
      </w:rPr>
    </w:pPr>
    <w:r w:rsidRPr="00AD7D57">
      <w:rPr>
        <w:rFonts w:ascii="Cambria" w:hAnsi="Cambria"/>
        <w:sz w:val="20"/>
        <w:szCs w:val="20"/>
      </w:rPr>
      <w:t>1) Tespit edilen hassas görevler yazılır (Ek-1 Hassas Görev Tespit Formunda belirtilen),</w:t>
    </w:r>
  </w:p>
  <w:p w14:paraId="0254E82C" w14:textId="15076688" w:rsidR="00AA6806" w:rsidRPr="00AD7D57" w:rsidRDefault="00AA6806" w:rsidP="00AA6806">
    <w:pPr>
      <w:tabs>
        <w:tab w:val="left" w:pos="10320"/>
      </w:tabs>
      <w:spacing w:after="0" w:line="240" w:lineRule="auto"/>
      <w:rPr>
        <w:rFonts w:ascii="Cambria" w:hAnsi="Cambria"/>
        <w:sz w:val="20"/>
        <w:szCs w:val="20"/>
      </w:rPr>
    </w:pPr>
    <w:r w:rsidRPr="00AD7D57">
      <w:rPr>
        <w:rFonts w:ascii="Cambria" w:hAnsi="Cambria"/>
        <w:sz w:val="20"/>
        <w:szCs w:val="20"/>
      </w:rPr>
      <w:t>2) Hassas görev kapsamında yürütülen alt birim/şube adı belirtilir</w:t>
    </w:r>
    <w:r w:rsidR="00FF4D20">
      <w:rPr>
        <w:rFonts w:ascii="Cambria" w:hAnsi="Cambria"/>
        <w:sz w:val="20"/>
        <w:szCs w:val="20"/>
      </w:rPr>
      <w:t>.</w:t>
    </w:r>
  </w:p>
  <w:p w14:paraId="0E5B84A1" w14:textId="77777777" w:rsidR="00AA6806" w:rsidRPr="00AD7D57" w:rsidRDefault="00AA6806" w:rsidP="00AA6806">
    <w:pPr>
      <w:tabs>
        <w:tab w:val="left" w:pos="10320"/>
      </w:tabs>
      <w:spacing w:after="0" w:line="240" w:lineRule="auto"/>
      <w:rPr>
        <w:rFonts w:ascii="Cambria" w:hAnsi="Cambria"/>
        <w:sz w:val="20"/>
        <w:szCs w:val="20"/>
      </w:rPr>
    </w:pPr>
    <w:r w:rsidRPr="00AD7D57">
      <w:rPr>
        <w:rFonts w:ascii="Cambria" w:hAnsi="Cambria"/>
        <w:sz w:val="20"/>
        <w:szCs w:val="20"/>
      </w:rPr>
      <w:t xml:space="preserve">3) Hassas görev kapsamında yürütülen alt birim/şube sorumlularının adı belirtilir (unvanı </w:t>
    </w:r>
    <w:proofErr w:type="gramStart"/>
    <w:r w:rsidRPr="00AD7D57">
      <w:rPr>
        <w:rFonts w:ascii="Cambria" w:hAnsi="Cambria"/>
        <w:sz w:val="20"/>
        <w:szCs w:val="20"/>
      </w:rPr>
      <w:t>ile birlikte</w:t>
    </w:r>
    <w:proofErr w:type="gramEnd"/>
    <w:r w:rsidRPr="00AD7D57">
      <w:rPr>
        <w:rFonts w:ascii="Cambria" w:hAnsi="Cambria"/>
        <w:sz w:val="20"/>
        <w:szCs w:val="20"/>
      </w:rPr>
      <w:t>),</w:t>
    </w:r>
  </w:p>
  <w:p w14:paraId="56B98796" w14:textId="367FDEF9" w:rsidR="00AA6806" w:rsidRPr="00AA6806" w:rsidRDefault="00AA6806" w:rsidP="00AA6806">
    <w:pPr>
      <w:tabs>
        <w:tab w:val="left" w:pos="10320"/>
      </w:tabs>
      <w:spacing w:after="0" w:line="240" w:lineRule="auto"/>
      <w:rPr>
        <w:rFonts w:ascii="Cambria" w:hAnsi="Cambria"/>
        <w:sz w:val="20"/>
        <w:szCs w:val="20"/>
      </w:rPr>
    </w:pPr>
    <w:r w:rsidRPr="00AD7D57">
      <w:rPr>
        <w:rFonts w:ascii="Cambria" w:hAnsi="Cambria"/>
        <w:sz w:val="20"/>
        <w:szCs w:val="20"/>
      </w:rPr>
      <w:t xml:space="preserve">4) </w:t>
    </w:r>
    <w:r w:rsidR="00FF4D20" w:rsidRPr="00FF4D20">
      <w:rPr>
        <w:rFonts w:ascii="Cambria" w:hAnsi="Cambria"/>
        <w:sz w:val="20"/>
        <w:szCs w:val="20"/>
      </w:rPr>
      <w:t xml:space="preserve">İlgili Hizmetin/Görevin muhtemel/uygulamada karşılaşılan vb. riskler (Görevin yerine getirilmemesinin sonuçları), (Hassas Görev Tespit Formunda EK-1 belirtilen) yazılarak, Hassas Görev Envanter Formu (EK-2) doldurulur </w:t>
    </w:r>
    <w:r w:rsidRPr="00AD7D57">
      <w:rPr>
        <w:rFonts w:ascii="Cambria" w:hAnsi="Cambria"/>
        <w:sz w:val="20"/>
        <w:szCs w:val="20"/>
      </w:rPr>
      <w:t>birim</w:t>
    </w:r>
    <w:r>
      <w:rPr>
        <w:rFonts w:ascii="Cambria" w:hAnsi="Cambria"/>
        <w:sz w:val="20"/>
        <w:szCs w:val="20"/>
      </w:rPr>
      <w:t xml:space="preserve"> </w:t>
    </w:r>
    <w:r w:rsidRPr="00AD7D57">
      <w:rPr>
        <w:rFonts w:ascii="Cambria" w:hAnsi="Cambria"/>
        <w:sz w:val="20"/>
        <w:szCs w:val="20"/>
      </w:rPr>
      <w:t>amiri (harcama yetkilisi) tarafından imzalanır.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2DA0" w14:textId="77777777" w:rsidR="00CA657E" w:rsidRDefault="00CA657E" w:rsidP="00534F7F">
      <w:pPr>
        <w:spacing w:after="0" w:line="240" w:lineRule="auto"/>
      </w:pPr>
      <w:r>
        <w:separator/>
      </w:r>
    </w:p>
  </w:footnote>
  <w:footnote w:type="continuationSeparator" w:id="0">
    <w:p w14:paraId="366584C9" w14:textId="77777777" w:rsidR="00CA657E" w:rsidRDefault="00CA657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BE8F" w14:textId="77777777" w:rsidR="00FF4D20" w:rsidRDefault="00FF4D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80"/>
      <w:gridCol w:w="9142"/>
      <w:gridCol w:w="1394"/>
      <w:gridCol w:w="1442"/>
    </w:tblGrid>
    <w:tr w:rsidR="00E85923" w14:paraId="2AADF692" w14:textId="77777777" w:rsidTr="00E85923">
      <w:trPr>
        <w:cantSplit/>
        <w:trHeight w:val="300"/>
      </w:trPr>
      <w:tc>
        <w:tcPr>
          <w:tcW w:w="996" w:type="pct"/>
          <w:vMerge w:val="restart"/>
          <w:vAlign w:val="center"/>
          <w:hideMark/>
        </w:tcPr>
        <w:p w14:paraId="01C4CC4D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462CE8C" wp14:editId="0D9AC24E">
                <wp:extent cx="904875" cy="695966"/>
                <wp:effectExtent l="0" t="0" r="0" b="8890"/>
                <wp:docPr id="2120039078" name="Resim 21200390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75DE5579" w14:textId="77777777" w:rsidR="00E85923" w:rsidRPr="00C8021C" w:rsidRDefault="00E85923" w:rsidP="00E85923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6D82094E" w14:textId="77777777" w:rsidR="00E85923" w:rsidRPr="00C8021C" w:rsidRDefault="00E85923" w:rsidP="00E85923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30ABD9F7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</w:p>
      </w:tc>
      <w:tc>
        <w:tcPr>
          <w:tcW w:w="4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D5B079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4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DFE055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UNİKA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FRM-000</w:t>
          </w:r>
        </w:p>
      </w:tc>
    </w:tr>
    <w:tr w:rsidR="00E85923" w14:paraId="6822616D" w14:textId="77777777" w:rsidTr="00E85923">
      <w:trPr>
        <w:cantSplit/>
        <w:trHeight w:val="300"/>
      </w:trPr>
      <w:tc>
        <w:tcPr>
          <w:tcW w:w="996" w:type="pct"/>
          <w:vMerge/>
          <w:vAlign w:val="center"/>
          <w:hideMark/>
        </w:tcPr>
        <w:p w14:paraId="6ED902C6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056" w:type="pct"/>
          <w:vMerge/>
          <w:tcBorders>
            <w:right w:val="single" w:sz="4" w:space="0" w:color="auto"/>
          </w:tcBorders>
          <w:vAlign w:val="center"/>
          <w:hideMark/>
        </w:tcPr>
        <w:p w14:paraId="164C4790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4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622CD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4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5FF40C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E85923" w14:paraId="01171F38" w14:textId="77777777" w:rsidTr="00E85923">
      <w:trPr>
        <w:cantSplit/>
        <w:trHeight w:val="300"/>
      </w:trPr>
      <w:tc>
        <w:tcPr>
          <w:tcW w:w="996" w:type="pct"/>
          <w:vMerge/>
          <w:vAlign w:val="center"/>
          <w:hideMark/>
        </w:tcPr>
        <w:p w14:paraId="0A00701D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056" w:type="pct"/>
          <w:vMerge/>
          <w:tcBorders>
            <w:right w:val="single" w:sz="4" w:space="0" w:color="auto"/>
          </w:tcBorders>
          <w:vAlign w:val="center"/>
          <w:hideMark/>
        </w:tcPr>
        <w:p w14:paraId="4DD9B006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4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42A574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4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D233BA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E85923" w14:paraId="70F39DD1" w14:textId="77777777" w:rsidTr="00E85923">
      <w:trPr>
        <w:cantSplit/>
        <w:trHeight w:val="300"/>
      </w:trPr>
      <w:tc>
        <w:tcPr>
          <w:tcW w:w="996" w:type="pct"/>
          <w:vMerge/>
          <w:vAlign w:val="center"/>
          <w:hideMark/>
        </w:tcPr>
        <w:p w14:paraId="6F15671B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056" w:type="pct"/>
          <w:vMerge/>
          <w:tcBorders>
            <w:right w:val="single" w:sz="4" w:space="0" w:color="auto"/>
          </w:tcBorders>
          <w:vAlign w:val="center"/>
          <w:hideMark/>
        </w:tcPr>
        <w:p w14:paraId="232166C1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4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6FC75D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4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401F0B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4CFA5D4E" w14:textId="77777777" w:rsidR="00F958F7" w:rsidRPr="00E85923" w:rsidRDefault="00F958F7" w:rsidP="00E859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173015703" name="Resim 1730157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3352164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HASSAS GÖREV </w:t>
          </w:r>
          <w:r w:rsidR="00BC6E8B">
            <w:rPr>
              <w:rFonts w:ascii="Cambria" w:hAnsi="Cambria"/>
              <w:b/>
              <w:bCs/>
              <w:color w:val="002060"/>
              <w:sz w:val="24"/>
              <w:szCs w:val="24"/>
            </w:rPr>
            <w:t>ENVANTERİ</w:t>
          </w:r>
          <w:r w:rsidR="00FF4D2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(EK-2)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33F15985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UNİKA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B9660F" w14:textId="77777777" w:rsidR="002172BB" w:rsidRDefault="002172BB" w:rsidP="00AA6806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24D67"/>
    <w:rsid w:val="0005043D"/>
    <w:rsid w:val="00060306"/>
    <w:rsid w:val="000967AA"/>
    <w:rsid w:val="000B5446"/>
    <w:rsid w:val="000B5CD3"/>
    <w:rsid w:val="000D5610"/>
    <w:rsid w:val="000F0AB4"/>
    <w:rsid w:val="001016B4"/>
    <w:rsid w:val="00102204"/>
    <w:rsid w:val="00116355"/>
    <w:rsid w:val="00134A6E"/>
    <w:rsid w:val="001368C2"/>
    <w:rsid w:val="00146C63"/>
    <w:rsid w:val="00160CFB"/>
    <w:rsid w:val="00164950"/>
    <w:rsid w:val="00167522"/>
    <w:rsid w:val="001739F2"/>
    <w:rsid w:val="001A67E3"/>
    <w:rsid w:val="001B09DE"/>
    <w:rsid w:val="001C005D"/>
    <w:rsid w:val="001D7CDB"/>
    <w:rsid w:val="001F16FF"/>
    <w:rsid w:val="001F4474"/>
    <w:rsid w:val="0020508C"/>
    <w:rsid w:val="00205B15"/>
    <w:rsid w:val="002172BB"/>
    <w:rsid w:val="00223C79"/>
    <w:rsid w:val="0024539A"/>
    <w:rsid w:val="00266CE8"/>
    <w:rsid w:val="00271BDB"/>
    <w:rsid w:val="00272085"/>
    <w:rsid w:val="00284A82"/>
    <w:rsid w:val="00291BC7"/>
    <w:rsid w:val="00293823"/>
    <w:rsid w:val="00294709"/>
    <w:rsid w:val="002F0FD6"/>
    <w:rsid w:val="002F6FDC"/>
    <w:rsid w:val="003230A8"/>
    <w:rsid w:val="003550F7"/>
    <w:rsid w:val="003618B1"/>
    <w:rsid w:val="00372271"/>
    <w:rsid w:val="003C0F72"/>
    <w:rsid w:val="003D72D5"/>
    <w:rsid w:val="003E7446"/>
    <w:rsid w:val="00402E42"/>
    <w:rsid w:val="00406E3A"/>
    <w:rsid w:val="00413E36"/>
    <w:rsid w:val="0042139E"/>
    <w:rsid w:val="00437CF7"/>
    <w:rsid w:val="0044100D"/>
    <w:rsid w:val="004557B4"/>
    <w:rsid w:val="004A5AE9"/>
    <w:rsid w:val="004B24B6"/>
    <w:rsid w:val="004C31C9"/>
    <w:rsid w:val="004D348B"/>
    <w:rsid w:val="004D5AA7"/>
    <w:rsid w:val="004F22E4"/>
    <w:rsid w:val="004F31DE"/>
    <w:rsid w:val="00534F7F"/>
    <w:rsid w:val="00561AEB"/>
    <w:rsid w:val="00563173"/>
    <w:rsid w:val="005663E5"/>
    <w:rsid w:val="005766C2"/>
    <w:rsid w:val="00587671"/>
    <w:rsid w:val="005966AA"/>
    <w:rsid w:val="005972BB"/>
    <w:rsid w:val="005B0C52"/>
    <w:rsid w:val="005C62D5"/>
    <w:rsid w:val="00604F61"/>
    <w:rsid w:val="0062113D"/>
    <w:rsid w:val="00634E90"/>
    <w:rsid w:val="0064705C"/>
    <w:rsid w:val="0068546D"/>
    <w:rsid w:val="006B3405"/>
    <w:rsid w:val="006F472E"/>
    <w:rsid w:val="00710C34"/>
    <w:rsid w:val="00713C08"/>
    <w:rsid w:val="00715F8A"/>
    <w:rsid w:val="007236EA"/>
    <w:rsid w:val="00724E1E"/>
    <w:rsid w:val="00742F1A"/>
    <w:rsid w:val="0074407A"/>
    <w:rsid w:val="007769FB"/>
    <w:rsid w:val="007A7C24"/>
    <w:rsid w:val="007F0AE7"/>
    <w:rsid w:val="008171D6"/>
    <w:rsid w:val="00846AD8"/>
    <w:rsid w:val="00854225"/>
    <w:rsid w:val="00871D77"/>
    <w:rsid w:val="008A360D"/>
    <w:rsid w:val="008A79D3"/>
    <w:rsid w:val="008B61AD"/>
    <w:rsid w:val="008F2208"/>
    <w:rsid w:val="00900183"/>
    <w:rsid w:val="009361A4"/>
    <w:rsid w:val="00956C4C"/>
    <w:rsid w:val="00987BC1"/>
    <w:rsid w:val="009A0D26"/>
    <w:rsid w:val="009D2811"/>
    <w:rsid w:val="00A26BAA"/>
    <w:rsid w:val="00A352C9"/>
    <w:rsid w:val="00A5214F"/>
    <w:rsid w:val="00A65DAF"/>
    <w:rsid w:val="00A728DF"/>
    <w:rsid w:val="00A9293B"/>
    <w:rsid w:val="00AA6806"/>
    <w:rsid w:val="00AA752A"/>
    <w:rsid w:val="00AC0D1C"/>
    <w:rsid w:val="00AD1231"/>
    <w:rsid w:val="00AD7D57"/>
    <w:rsid w:val="00AF3389"/>
    <w:rsid w:val="00AF67D2"/>
    <w:rsid w:val="00B01B11"/>
    <w:rsid w:val="00B2469A"/>
    <w:rsid w:val="00B451F5"/>
    <w:rsid w:val="00B704F1"/>
    <w:rsid w:val="00B76FE8"/>
    <w:rsid w:val="00BC6E8B"/>
    <w:rsid w:val="00BC6ED3"/>
    <w:rsid w:val="00BE3E80"/>
    <w:rsid w:val="00BF0AC6"/>
    <w:rsid w:val="00C26A58"/>
    <w:rsid w:val="00C512D3"/>
    <w:rsid w:val="00C60702"/>
    <w:rsid w:val="00C60980"/>
    <w:rsid w:val="00CA657E"/>
    <w:rsid w:val="00CC3E17"/>
    <w:rsid w:val="00CE79D5"/>
    <w:rsid w:val="00CF5DBC"/>
    <w:rsid w:val="00D00CA5"/>
    <w:rsid w:val="00D033F1"/>
    <w:rsid w:val="00D04D2D"/>
    <w:rsid w:val="00D13846"/>
    <w:rsid w:val="00D40E96"/>
    <w:rsid w:val="00D40FA7"/>
    <w:rsid w:val="00D640A7"/>
    <w:rsid w:val="00D74280"/>
    <w:rsid w:val="00D80B24"/>
    <w:rsid w:val="00DA3083"/>
    <w:rsid w:val="00DC2C45"/>
    <w:rsid w:val="00E06A86"/>
    <w:rsid w:val="00E2079D"/>
    <w:rsid w:val="00E46EF5"/>
    <w:rsid w:val="00E51917"/>
    <w:rsid w:val="00E63AD4"/>
    <w:rsid w:val="00E74987"/>
    <w:rsid w:val="00E74F57"/>
    <w:rsid w:val="00E85923"/>
    <w:rsid w:val="00EA6A32"/>
    <w:rsid w:val="00EB10BE"/>
    <w:rsid w:val="00EB72A7"/>
    <w:rsid w:val="00EE089C"/>
    <w:rsid w:val="00F15BBD"/>
    <w:rsid w:val="00F229EF"/>
    <w:rsid w:val="00F23069"/>
    <w:rsid w:val="00F40795"/>
    <w:rsid w:val="00F456BC"/>
    <w:rsid w:val="00F478AB"/>
    <w:rsid w:val="00F5250D"/>
    <w:rsid w:val="00F52523"/>
    <w:rsid w:val="00F733AA"/>
    <w:rsid w:val="00F958F7"/>
    <w:rsid w:val="00FA5C7D"/>
    <w:rsid w:val="00FD4F6C"/>
    <w:rsid w:val="00FE6CA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F456BC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normaltextrun">
    <w:name w:val="normaltextrun"/>
    <w:basedOn w:val="VarsaylanParagrafYazTipi"/>
    <w:rsid w:val="004C31C9"/>
  </w:style>
  <w:style w:type="paragraph" w:customStyle="1" w:styleId="paragraph">
    <w:name w:val="paragraph"/>
    <w:basedOn w:val="Normal"/>
    <w:rsid w:val="0057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D4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6954</Characters>
  <Application>Microsoft Office Word</Application>
  <DocSecurity>0</DocSecurity>
  <Lines>353</Lines>
  <Paragraphs>223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Ramazan EROĞLU</cp:lastModifiedBy>
  <cp:revision>6</cp:revision>
  <cp:lastPrinted>2025-09-23T13:06:00Z</cp:lastPrinted>
  <dcterms:created xsi:type="dcterms:W3CDTF">2025-11-03T12:51:00Z</dcterms:created>
  <dcterms:modified xsi:type="dcterms:W3CDTF">2025-11-03T12:53:00Z</dcterms:modified>
</cp:coreProperties>
</file>